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8C" w:rsidRDefault="003D4A8C" w:rsidP="003D4A8C">
      <w:pPr>
        <w:jc w:val="left"/>
        <w:rPr>
          <w:rFonts w:ascii="宋体" w:eastAsia="宋体" w:hAnsi="宋体"/>
          <w:b/>
          <w:sz w:val="44"/>
          <w:szCs w:val="44"/>
        </w:rPr>
      </w:pPr>
      <w:r>
        <w:rPr>
          <w:rFonts w:ascii="宋体" w:eastAsia="宋体" w:hAnsi="宋体" w:hint="eastAsia"/>
          <w:b/>
          <w:sz w:val="44"/>
          <w:szCs w:val="44"/>
        </w:rPr>
        <w:t>附件</w:t>
      </w:r>
      <w:r>
        <w:rPr>
          <w:rFonts w:ascii="宋体" w:eastAsia="宋体" w:hAnsi="宋体"/>
          <w:b/>
          <w:sz w:val="44"/>
          <w:szCs w:val="44"/>
        </w:rPr>
        <w:t>3</w:t>
      </w:r>
      <w:r>
        <w:rPr>
          <w:rFonts w:ascii="宋体" w:eastAsia="宋体" w:hAnsi="宋体" w:hint="eastAsia"/>
          <w:b/>
          <w:sz w:val="44"/>
          <w:szCs w:val="44"/>
        </w:rPr>
        <w:t>：</w:t>
      </w:r>
    </w:p>
    <w:p w:rsidR="003D4A8C" w:rsidRDefault="003D4A8C" w:rsidP="003D4A8C">
      <w:pPr>
        <w:jc w:val="left"/>
        <w:rPr>
          <w:rFonts w:ascii="宋体" w:eastAsia="宋体" w:hAnsi="宋体" w:hint="eastAsia"/>
          <w:b/>
          <w:sz w:val="44"/>
          <w:szCs w:val="44"/>
        </w:rPr>
      </w:pPr>
      <w:bookmarkStart w:id="0" w:name="_GoBack"/>
      <w:bookmarkEnd w:id="0"/>
    </w:p>
    <w:p w:rsidR="0059791F" w:rsidRPr="00F00DE7" w:rsidRDefault="00741C31" w:rsidP="0059791F">
      <w:pPr>
        <w:widowControl/>
        <w:shd w:val="clear" w:color="auto" w:fill="FFFFFF"/>
        <w:spacing w:line="270" w:lineRule="atLeast"/>
        <w:jc w:val="center"/>
        <w:outlineLvl w:val="1"/>
        <w:rPr>
          <w:rFonts w:ascii="宋体" w:eastAsia="宋体" w:hAnsi="宋体" w:cs="宋体"/>
          <w:b/>
          <w:color w:val="000000"/>
          <w:kern w:val="0"/>
          <w:sz w:val="44"/>
          <w:szCs w:val="44"/>
        </w:rPr>
      </w:pPr>
      <w:r>
        <w:rPr>
          <w:rFonts w:ascii="宋体" w:eastAsia="宋体" w:hAnsi="宋体" w:cs="宋体" w:hint="eastAsia"/>
          <w:b/>
          <w:color w:val="000000"/>
          <w:kern w:val="0"/>
          <w:sz w:val="44"/>
          <w:szCs w:val="44"/>
        </w:rPr>
        <w:t>危险化学品</w:t>
      </w:r>
      <w:r w:rsidR="00F953BE">
        <w:rPr>
          <w:rFonts w:ascii="宋体" w:eastAsia="宋体" w:hAnsi="宋体" w:cs="宋体" w:hint="eastAsia"/>
          <w:b/>
          <w:color w:val="000000"/>
          <w:kern w:val="0"/>
          <w:sz w:val="44"/>
          <w:szCs w:val="44"/>
        </w:rPr>
        <w:t>分类储存</w:t>
      </w:r>
      <w:r>
        <w:rPr>
          <w:rFonts w:ascii="宋体" w:eastAsia="宋体" w:hAnsi="宋体" w:cs="宋体" w:hint="eastAsia"/>
          <w:b/>
          <w:color w:val="000000"/>
          <w:kern w:val="0"/>
          <w:sz w:val="44"/>
          <w:szCs w:val="44"/>
        </w:rPr>
        <w:t>的</w:t>
      </w:r>
      <w:r w:rsidR="0059791F" w:rsidRPr="00F00DE7">
        <w:rPr>
          <w:rFonts w:ascii="宋体" w:eastAsia="宋体" w:hAnsi="宋体" w:cs="宋体" w:hint="eastAsia"/>
          <w:b/>
          <w:color w:val="000000"/>
          <w:kern w:val="0"/>
          <w:sz w:val="44"/>
          <w:szCs w:val="44"/>
        </w:rPr>
        <w:t>原则</w:t>
      </w:r>
    </w:p>
    <w:p w:rsidR="0059791F" w:rsidRPr="00EE762B" w:rsidRDefault="0059791F">
      <w:pPr>
        <w:rPr>
          <w:rFonts w:ascii="仿宋" w:eastAsia="仿宋" w:hAnsi="仿宋"/>
          <w:sz w:val="32"/>
          <w:szCs w:val="32"/>
        </w:rPr>
      </w:pPr>
    </w:p>
    <w:p w:rsidR="00B27545" w:rsidRPr="00B27545" w:rsidRDefault="00245837" w:rsidP="00245837">
      <w:pPr>
        <w:ind w:firstLineChars="200" w:firstLine="643"/>
        <w:rPr>
          <w:rFonts w:ascii="黑体" w:eastAsia="黑体" w:hAnsi="黑体"/>
          <w:b/>
          <w:sz w:val="32"/>
          <w:szCs w:val="32"/>
        </w:rPr>
      </w:pPr>
      <w:r w:rsidRPr="00B27545">
        <w:rPr>
          <w:rFonts w:ascii="黑体" w:eastAsia="黑体" w:hAnsi="黑体" w:hint="eastAsia"/>
          <w:b/>
          <w:sz w:val="32"/>
          <w:szCs w:val="32"/>
        </w:rPr>
        <w:t>一、</w:t>
      </w:r>
      <w:r w:rsidR="0059791F" w:rsidRPr="00B27545">
        <w:rPr>
          <w:rFonts w:ascii="黑体" w:eastAsia="黑体" w:hAnsi="黑体"/>
          <w:b/>
          <w:sz w:val="32"/>
          <w:szCs w:val="32"/>
        </w:rPr>
        <w:t>储存方式</w:t>
      </w:r>
    </w:p>
    <w:p w:rsidR="0059791F" w:rsidRDefault="0059791F" w:rsidP="00245837">
      <w:pPr>
        <w:ind w:firstLineChars="200" w:firstLine="640"/>
        <w:rPr>
          <w:rFonts w:ascii="仿宋" w:eastAsia="仿宋" w:hAnsi="仿宋"/>
          <w:sz w:val="32"/>
          <w:szCs w:val="32"/>
        </w:rPr>
      </w:pPr>
      <w:r w:rsidRPr="0059791F">
        <w:rPr>
          <w:rFonts w:ascii="仿宋" w:eastAsia="仿宋" w:hAnsi="仿宋"/>
          <w:sz w:val="32"/>
          <w:szCs w:val="32"/>
        </w:rPr>
        <w:t>危险化学品储存方式分为隔离储存、隔开储存、分离储存三种。</w:t>
      </w:r>
    </w:p>
    <w:p w:rsidR="0059791F" w:rsidRDefault="00245837" w:rsidP="00245837">
      <w:pPr>
        <w:ind w:firstLineChars="200" w:firstLine="640"/>
        <w:rPr>
          <w:rFonts w:ascii="仿宋" w:eastAsia="仿宋" w:hAnsi="仿宋"/>
          <w:sz w:val="32"/>
          <w:szCs w:val="32"/>
        </w:rPr>
      </w:pPr>
      <w:r w:rsidRPr="00B27545">
        <w:rPr>
          <w:rFonts w:ascii="黑体" w:eastAsia="黑体" w:hAnsi="黑体" w:hint="eastAsia"/>
          <w:sz w:val="32"/>
          <w:szCs w:val="32"/>
        </w:rPr>
        <w:t>（一）</w:t>
      </w:r>
      <w:r w:rsidR="0059791F" w:rsidRPr="00B27545">
        <w:rPr>
          <w:rFonts w:ascii="黑体" w:eastAsia="黑体" w:hAnsi="黑体"/>
          <w:sz w:val="32"/>
          <w:szCs w:val="32"/>
        </w:rPr>
        <w:t>隔离储存</w:t>
      </w:r>
      <w:r w:rsidR="0059791F" w:rsidRPr="0059791F">
        <w:rPr>
          <w:rFonts w:ascii="仿宋" w:eastAsia="仿宋" w:hAnsi="仿宋"/>
          <w:sz w:val="32"/>
          <w:szCs w:val="32"/>
        </w:rPr>
        <w:t xml:space="preserve">  同一房间或同一区域内，不同的物料之间分开一定距离，非禁忌物料间用通道保持空间的储存方式。这里所述的禁忌物料是指化学性质相抵触或灭火方法不同的化学物料。</w:t>
      </w:r>
    </w:p>
    <w:p w:rsidR="0059791F" w:rsidRDefault="00245837" w:rsidP="00245837">
      <w:pPr>
        <w:ind w:firstLineChars="200" w:firstLine="640"/>
        <w:rPr>
          <w:rFonts w:ascii="仿宋" w:eastAsia="仿宋" w:hAnsi="仿宋"/>
          <w:sz w:val="32"/>
          <w:szCs w:val="32"/>
        </w:rPr>
      </w:pPr>
      <w:r w:rsidRPr="00B27545">
        <w:rPr>
          <w:rFonts w:ascii="黑体" w:eastAsia="黑体" w:hAnsi="黑体" w:hint="eastAsia"/>
          <w:sz w:val="32"/>
          <w:szCs w:val="32"/>
        </w:rPr>
        <w:t>（二）</w:t>
      </w:r>
      <w:r w:rsidR="0059791F" w:rsidRPr="00B27545">
        <w:rPr>
          <w:rFonts w:ascii="Calibri" w:eastAsia="黑体" w:hAnsi="Calibri" w:cs="Calibri"/>
          <w:sz w:val="32"/>
          <w:szCs w:val="32"/>
        </w:rPr>
        <w:t> </w:t>
      </w:r>
      <w:r w:rsidR="0059791F" w:rsidRPr="00B27545">
        <w:rPr>
          <w:rFonts w:ascii="黑体" w:eastAsia="黑体" w:hAnsi="黑体"/>
          <w:sz w:val="32"/>
          <w:szCs w:val="32"/>
        </w:rPr>
        <w:t>隔开储存</w:t>
      </w:r>
      <w:r w:rsidR="0059791F" w:rsidRPr="0059791F">
        <w:rPr>
          <w:rFonts w:ascii="仿宋" w:eastAsia="仿宋" w:hAnsi="仿宋"/>
          <w:sz w:val="32"/>
          <w:szCs w:val="32"/>
        </w:rPr>
        <w:t xml:space="preserve">  在同一建筑或同一区域内，用隔板或墙将其与禁忌物料分离开的储存方式。</w:t>
      </w:r>
    </w:p>
    <w:p w:rsidR="0059791F" w:rsidRDefault="00245837" w:rsidP="00245837">
      <w:pPr>
        <w:ind w:firstLineChars="200" w:firstLine="640"/>
        <w:rPr>
          <w:rFonts w:ascii="仿宋" w:eastAsia="仿宋" w:hAnsi="仿宋"/>
          <w:sz w:val="32"/>
          <w:szCs w:val="32"/>
        </w:rPr>
      </w:pPr>
      <w:r w:rsidRPr="00B27545">
        <w:rPr>
          <w:rFonts w:ascii="黑体" w:eastAsia="黑体" w:hAnsi="黑体" w:hint="eastAsia"/>
          <w:sz w:val="32"/>
          <w:szCs w:val="32"/>
        </w:rPr>
        <w:t>（三）</w:t>
      </w:r>
      <w:r w:rsidR="0059791F" w:rsidRPr="00B27545">
        <w:rPr>
          <w:rFonts w:ascii="黑体" w:eastAsia="黑体" w:hAnsi="黑体"/>
          <w:sz w:val="32"/>
          <w:szCs w:val="32"/>
        </w:rPr>
        <w:t>分离储存</w:t>
      </w:r>
      <w:r w:rsidR="0059791F">
        <w:rPr>
          <w:rFonts w:ascii="仿宋" w:eastAsia="仿宋" w:hAnsi="仿宋" w:hint="eastAsia"/>
          <w:sz w:val="32"/>
          <w:szCs w:val="32"/>
        </w:rPr>
        <w:t xml:space="preserve"> </w:t>
      </w:r>
      <w:r w:rsidR="0059791F" w:rsidRPr="00245837">
        <w:rPr>
          <w:rFonts w:ascii="Calibri" w:eastAsia="仿宋" w:hAnsi="Calibri" w:cs="Calibri"/>
          <w:sz w:val="32"/>
          <w:szCs w:val="32"/>
        </w:rPr>
        <w:t> </w:t>
      </w:r>
      <w:r w:rsidR="0059791F" w:rsidRPr="0059791F">
        <w:rPr>
          <w:rFonts w:ascii="仿宋" w:eastAsia="仿宋" w:hAnsi="仿宋"/>
          <w:sz w:val="32"/>
          <w:szCs w:val="32"/>
        </w:rPr>
        <w:t>储存在不同的建筑物或远离所有建筑的外部区域内的储存方式。</w:t>
      </w:r>
    </w:p>
    <w:p w:rsidR="00B27545" w:rsidRPr="00B27545" w:rsidRDefault="00245837" w:rsidP="00245837">
      <w:pPr>
        <w:ind w:firstLineChars="200" w:firstLine="643"/>
        <w:rPr>
          <w:rFonts w:ascii="黑体" w:eastAsia="黑体" w:hAnsi="黑体"/>
          <w:b/>
          <w:sz w:val="32"/>
          <w:szCs w:val="32"/>
        </w:rPr>
      </w:pPr>
      <w:r w:rsidRPr="00B27545">
        <w:rPr>
          <w:rFonts w:ascii="黑体" w:eastAsia="黑体" w:hAnsi="黑体" w:hint="eastAsia"/>
          <w:b/>
          <w:sz w:val="32"/>
          <w:szCs w:val="32"/>
        </w:rPr>
        <w:t>二、</w:t>
      </w:r>
      <w:r w:rsidR="0059791F" w:rsidRPr="00B27545">
        <w:rPr>
          <w:rFonts w:ascii="黑体" w:eastAsia="黑体" w:hAnsi="黑体"/>
          <w:b/>
          <w:sz w:val="32"/>
          <w:szCs w:val="32"/>
        </w:rPr>
        <w:t>分类储存</w:t>
      </w:r>
      <w:r w:rsidR="0059791F" w:rsidRPr="00B27545">
        <w:rPr>
          <w:rFonts w:ascii="黑体" w:eastAsia="黑体" w:hAnsi="黑体" w:hint="eastAsia"/>
          <w:b/>
          <w:sz w:val="32"/>
          <w:szCs w:val="32"/>
        </w:rPr>
        <w:t>的原则</w:t>
      </w:r>
    </w:p>
    <w:p w:rsidR="0059791F" w:rsidRDefault="0059791F" w:rsidP="00245837">
      <w:pPr>
        <w:ind w:firstLineChars="200" w:firstLine="640"/>
        <w:rPr>
          <w:rFonts w:ascii="仿宋" w:eastAsia="仿宋" w:hAnsi="仿宋"/>
          <w:sz w:val="32"/>
          <w:szCs w:val="32"/>
        </w:rPr>
      </w:pPr>
      <w:r w:rsidRPr="0059791F">
        <w:rPr>
          <w:rFonts w:ascii="仿宋" w:eastAsia="仿宋" w:hAnsi="仿宋"/>
          <w:sz w:val="32"/>
          <w:szCs w:val="32"/>
        </w:rPr>
        <w:t>根据危险化学品的性能分区、分类、分库储存，各类危险化学品不得与禁忌物料混合储存。</w:t>
      </w:r>
    </w:p>
    <w:p w:rsidR="0059791F" w:rsidRPr="00B27545" w:rsidRDefault="00245837" w:rsidP="00245837">
      <w:pPr>
        <w:ind w:firstLineChars="200" w:firstLine="643"/>
        <w:rPr>
          <w:rFonts w:ascii="黑体" w:eastAsia="黑体" w:hAnsi="黑体"/>
          <w:b/>
          <w:sz w:val="32"/>
          <w:szCs w:val="32"/>
        </w:rPr>
      </w:pPr>
      <w:r w:rsidRPr="00B27545">
        <w:rPr>
          <w:rFonts w:ascii="黑体" w:eastAsia="黑体" w:hAnsi="黑体" w:hint="eastAsia"/>
          <w:b/>
          <w:sz w:val="32"/>
          <w:szCs w:val="32"/>
        </w:rPr>
        <w:t>三、</w:t>
      </w:r>
      <w:r w:rsidR="0059791F" w:rsidRPr="00B27545">
        <w:rPr>
          <w:rFonts w:ascii="黑体" w:eastAsia="黑体" w:hAnsi="黑体"/>
          <w:b/>
          <w:sz w:val="32"/>
          <w:szCs w:val="32"/>
        </w:rPr>
        <w:t>分类存放的基本要求</w:t>
      </w:r>
    </w:p>
    <w:p w:rsidR="0059791F" w:rsidRP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（一）</w:t>
      </w:r>
      <w:r w:rsidR="0059791F" w:rsidRPr="00B27545">
        <w:rPr>
          <w:rFonts w:ascii="黑体" w:eastAsia="黑体" w:hAnsi="黑体"/>
          <w:sz w:val="32"/>
          <w:szCs w:val="32"/>
        </w:rPr>
        <w:t>压缩、液化气体</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压缩、液化气体之间：可燃气体与氧化性（助燃）气体应隔离存放。</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lastRenderedPageBreak/>
        <w:t>2.</w:t>
      </w:r>
      <w:r w:rsidR="0059791F" w:rsidRPr="0059791F">
        <w:rPr>
          <w:rFonts w:ascii="仿宋" w:eastAsia="仿宋" w:hAnsi="仿宋"/>
          <w:sz w:val="32"/>
          <w:szCs w:val="32"/>
        </w:rPr>
        <w:t>压缩、液化气体与自燃、遇湿易燃等物品之间：剧毒、可燃、氧化性（助燃）气体均不得与甲类自燃物品同库储存和配装；与乙类自燃物品、遇水易燃物品（灭火方法不同）应隔离存放和配装；可燃液体、固体与剧毒、氧化性气体不得同库储存和配装。</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3.</w:t>
      </w:r>
      <w:r w:rsidR="0059791F" w:rsidRPr="0059791F">
        <w:rPr>
          <w:rFonts w:ascii="仿宋" w:eastAsia="仿宋" w:hAnsi="仿宋"/>
          <w:sz w:val="32"/>
          <w:szCs w:val="32"/>
        </w:rPr>
        <w:t>压缩、液化气体与腐蚀性</w:t>
      </w:r>
      <w:r w:rsidR="0059791F" w:rsidRPr="0059791F">
        <w:rPr>
          <w:rFonts w:ascii="仿宋" w:eastAsia="仿宋" w:hAnsi="仿宋" w:hint="eastAsia"/>
          <w:sz w:val="32"/>
          <w:szCs w:val="32"/>
        </w:rPr>
        <w:t>物品之间：剧毒气体、可燃气体不得与硝酸、硫酸等强酸配装和同库储存，与氧化（助燃）气体、不燃气体应隔离储存和配装。</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4.</w:t>
      </w:r>
      <w:r w:rsidR="0059791F" w:rsidRPr="0059791F">
        <w:rPr>
          <w:rFonts w:ascii="仿宋" w:eastAsia="仿宋" w:hAnsi="仿宋"/>
          <w:sz w:val="32"/>
          <w:szCs w:val="32"/>
        </w:rPr>
        <w:t>氧气瓶及氧气空瓶不得与油脂及含油物质、易燃物同库储存和配装。</w:t>
      </w:r>
    </w:p>
    <w:p w:rsid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（二）</w:t>
      </w:r>
      <w:r w:rsidR="0059791F" w:rsidRPr="00B27545">
        <w:rPr>
          <w:rFonts w:ascii="黑体" w:eastAsia="黑体" w:hAnsi="黑体"/>
          <w:sz w:val="32"/>
          <w:szCs w:val="32"/>
        </w:rPr>
        <w:t>易燃液体</w:t>
      </w:r>
    </w:p>
    <w:p w:rsidR="0059791F" w:rsidRDefault="0059791F" w:rsidP="00245837">
      <w:pPr>
        <w:ind w:firstLineChars="200" w:firstLine="640"/>
        <w:rPr>
          <w:rFonts w:ascii="仿宋" w:eastAsia="仿宋" w:hAnsi="仿宋"/>
          <w:sz w:val="32"/>
          <w:szCs w:val="32"/>
        </w:rPr>
      </w:pPr>
      <w:r w:rsidRPr="0059791F">
        <w:rPr>
          <w:rFonts w:ascii="仿宋" w:eastAsia="仿宋" w:hAnsi="仿宋"/>
          <w:sz w:val="32"/>
          <w:szCs w:val="32"/>
        </w:rPr>
        <w:t>易燃液体不仅本身易燃，且都具有一定的毒性，原则上应单独存放。因各种条件的限制，不得不与其他各类的危险化学品同库储存时，应遵守如下原则：</w:t>
      </w:r>
    </w:p>
    <w:p w:rsidR="0059791F" w:rsidRPr="00245837"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与腐蚀性物品过氧化氢及硝酸等强酸不可同库储存，如量甚少时，也应隔离存放，并保持2m以上的间距。</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2.</w:t>
      </w:r>
      <w:r w:rsidR="0059791F" w:rsidRPr="0059791F">
        <w:rPr>
          <w:rFonts w:ascii="仿宋" w:eastAsia="仿宋" w:hAnsi="仿宋"/>
          <w:sz w:val="32"/>
          <w:szCs w:val="32"/>
        </w:rPr>
        <w:t>含水的易燃液体和需要加水</w:t>
      </w:r>
      <w:r w:rsidR="0059791F" w:rsidRPr="0059791F">
        <w:rPr>
          <w:rFonts w:ascii="仿宋" w:eastAsia="仿宋" w:hAnsi="仿宋" w:hint="eastAsia"/>
          <w:sz w:val="32"/>
          <w:szCs w:val="32"/>
        </w:rPr>
        <w:t>存放或运输的易燃液体，不得与遇湿易燃物品同库储存。</w:t>
      </w:r>
    </w:p>
    <w:p w:rsidR="0059791F" w:rsidRP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（三）</w:t>
      </w:r>
      <w:r w:rsidR="0059791F" w:rsidRPr="00B27545">
        <w:rPr>
          <w:rFonts w:ascii="黑体" w:eastAsia="黑体" w:hAnsi="黑体"/>
          <w:sz w:val="32"/>
          <w:szCs w:val="32"/>
        </w:rPr>
        <w:t>遇湿易燃物品</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 xml:space="preserve">遇湿易燃物品与氧化剂不可同库存放。遇湿易燃物品是还原剂，遇氧化剂会剧烈反应，发生着火和爆炸。  </w:t>
      </w:r>
      <w:r w:rsidR="0059791F" w:rsidRPr="00245837">
        <w:rPr>
          <w:rFonts w:ascii="Calibri" w:eastAsia="仿宋" w:hAnsi="Calibri" w:cs="Calibri"/>
          <w:sz w:val="32"/>
          <w:szCs w:val="32"/>
        </w:rPr>
        <w:t>   </w:t>
      </w:r>
      <w:r w:rsidR="0059791F" w:rsidRPr="0059791F">
        <w:rPr>
          <w:rFonts w:ascii="仿宋" w:eastAsia="仿宋" w:hAnsi="仿宋"/>
          <w:sz w:val="32"/>
          <w:szCs w:val="32"/>
        </w:rPr>
        <w:t xml:space="preserve"> </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2.</w:t>
      </w:r>
      <w:r w:rsidR="0059791F" w:rsidRPr="0059791F">
        <w:rPr>
          <w:rFonts w:ascii="仿宋" w:eastAsia="仿宋" w:hAnsi="仿宋"/>
          <w:sz w:val="32"/>
          <w:szCs w:val="32"/>
        </w:rPr>
        <w:t>遇湿易燃物品与腐蚀性物品之间：因为过氧化氢、硝</w:t>
      </w:r>
      <w:r w:rsidR="0059791F" w:rsidRPr="0059791F">
        <w:rPr>
          <w:rFonts w:ascii="仿宋" w:eastAsia="仿宋" w:hAnsi="仿宋"/>
          <w:sz w:val="32"/>
          <w:szCs w:val="32"/>
        </w:rPr>
        <w:lastRenderedPageBreak/>
        <w:t xml:space="preserve">酸等强酸都具有较强的碱性，与遇水燃烧物品接触会立即着火或爆炸，且过氧化氢中含有的水会引起遇湿易燃物品的着火爆炸，因而不得同库存放。与盐酸、甲酸、醋酸和含水腐蚀品（如液碱）等，亦应隔离存放。  </w:t>
      </w:r>
      <w:r w:rsidR="0059791F" w:rsidRPr="00245837">
        <w:rPr>
          <w:rFonts w:ascii="Calibri" w:eastAsia="仿宋" w:hAnsi="Calibri" w:cs="Calibri"/>
          <w:sz w:val="32"/>
          <w:szCs w:val="32"/>
        </w:rPr>
        <w:t>   </w:t>
      </w:r>
      <w:r w:rsidR="0059791F" w:rsidRPr="0059791F">
        <w:rPr>
          <w:rFonts w:ascii="仿宋" w:eastAsia="仿宋" w:hAnsi="仿宋"/>
          <w:sz w:val="32"/>
          <w:szCs w:val="32"/>
        </w:rPr>
        <w:t xml:space="preserve"> </w:t>
      </w:r>
    </w:p>
    <w:p w:rsidR="00B27545" w:rsidRDefault="00245837" w:rsidP="00245837">
      <w:pPr>
        <w:ind w:firstLineChars="200" w:firstLine="640"/>
        <w:rPr>
          <w:rFonts w:ascii="仿宋" w:eastAsia="仿宋" w:hAnsi="仿宋"/>
          <w:sz w:val="32"/>
          <w:szCs w:val="32"/>
        </w:rPr>
      </w:pPr>
      <w:r>
        <w:rPr>
          <w:rFonts w:ascii="仿宋" w:eastAsia="仿宋" w:hAnsi="仿宋"/>
          <w:sz w:val="32"/>
          <w:szCs w:val="32"/>
        </w:rPr>
        <w:t>3.</w:t>
      </w:r>
      <w:r w:rsidR="0059791F" w:rsidRPr="0059791F">
        <w:rPr>
          <w:rFonts w:ascii="仿宋" w:eastAsia="仿宋" w:hAnsi="仿宋"/>
          <w:sz w:val="32"/>
          <w:szCs w:val="32"/>
        </w:rPr>
        <w:t>遇湿易燃物品之间：活泼金属及其氢化物可同库存放；电石受潮</w:t>
      </w:r>
      <w:r w:rsidR="0059791F" w:rsidRPr="0059791F">
        <w:rPr>
          <w:rFonts w:ascii="仿宋" w:eastAsia="仿宋" w:hAnsi="仿宋" w:hint="eastAsia"/>
          <w:sz w:val="32"/>
          <w:szCs w:val="32"/>
        </w:rPr>
        <w:t>后产生大量乙炔气，其包装易发生爆破，应单独存放。</w:t>
      </w:r>
    </w:p>
    <w:p w:rsidR="0059791F" w:rsidRP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（四）</w:t>
      </w:r>
      <w:r w:rsidR="0059791F" w:rsidRPr="00B27545">
        <w:rPr>
          <w:rFonts w:ascii="黑体" w:eastAsia="黑体" w:hAnsi="黑体"/>
          <w:sz w:val="32"/>
          <w:szCs w:val="32"/>
        </w:rPr>
        <w:t>氧化剂和有机过氧化物</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氧化剂与压缩气体和液化气体。甲类氧化剂与易燃或剧毒气体不可同库储存，因为甲类氧化剂的氧化能力强，与剧毒气体或易燃气体接触容易引起燃烧或钢瓶爆炸。特别是剧毒易燃气体钢瓶，其爆炸后放出毒气，施救困难，会造成大量人员中毒。例如，过氧化钠遇氯气会生成Cl2O，Cl2O极易爆炸，分解为氧和氯</w:t>
      </w:r>
      <w:r>
        <w:rPr>
          <w:rFonts w:ascii="仿宋" w:eastAsia="仿宋" w:hAnsi="仿宋" w:hint="eastAsia"/>
          <w:sz w:val="32"/>
          <w:szCs w:val="32"/>
        </w:rPr>
        <w:t>。</w:t>
      </w:r>
      <w:r w:rsidR="0059791F" w:rsidRPr="0059791F">
        <w:rPr>
          <w:rFonts w:ascii="仿宋" w:eastAsia="仿宋" w:hAnsi="仿宋"/>
          <w:sz w:val="32"/>
          <w:szCs w:val="32"/>
        </w:rPr>
        <w:t xml:space="preserve">乙类氧化剂与压缩和液化气体可隔离储存，即保持2m以上的间距，但与惰性气体可同库储存。 </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2.</w:t>
      </w:r>
      <w:r w:rsidR="0059791F" w:rsidRPr="0059791F">
        <w:rPr>
          <w:rFonts w:ascii="仿宋" w:eastAsia="仿宋" w:hAnsi="仿宋"/>
          <w:sz w:val="32"/>
          <w:szCs w:val="32"/>
        </w:rPr>
        <w:t xml:space="preserve">氧化剂与毒害品。无机氧化剂与毒害品应隔离储存。有机氧化剂与毒害品可同库隔离储存，但与有可燃性的毒害品不可同库储存。毒害品大多是有机物，与无机氧化剂接触能引起燃烧。无机剧毒品中有些易被氧化，氧化后具有爆炸性，或者会变成剧毒物质。氰化钠、氰化钾及其他氰化物，与氯酸盐或亚硝酸盐混合后能发生爆炸。  </w:t>
      </w:r>
      <w:r w:rsidR="0059791F" w:rsidRPr="00245837">
        <w:rPr>
          <w:rFonts w:ascii="Calibri" w:eastAsia="仿宋" w:hAnsi="Calibri" w:cs="Calibri"/>
          <w:sz w:val="32"/>
          <w:szCs w:val="32"/>
        </w:rPr>
        <w:t>   </w:t>
      </w:r>
      <w:r w:rsidR="0059791F" w:rsidRPr="0059791F">
        <w:rPr>
          <w:rFonts w:ascii="仿宋" w:eastAsia="仿宋" w:hAnsi="仿宋"/>
          <w:sz w:val="32"/>
          <w:szCs w:val="32"/>
        </w:rPr>
        <w:t xml:space="preserve"> </w:t>
      </w:r>
    </w:p>
    <w:p w:rsidR="00B27545" w:rsidRDefault="00245837" w:rsidP="00245837">
      <w:pPr>
        <w:ind w:firstLineChars="200" w:firstLine="640"/>
        <w:rPr>
          <w:rFonts w:ascii="仿宋" w:eastAsia="仿宋" w:hAnsi="仿宋"/>
          <w:sz w:val="32"/>
          <w:szCs w:val="32"/>
        </w:rPr>
      </w:pPr>
      <w:r>
        <w:rPr>
          <w:rFonts w:ascii="仿宋" w:eastAsia="仿宋" w:hAnsi="仿宋"/>
          <w:sz w:val="32"/>
          <w:szCs w:val="32"/>
        </w:rPr>
        <w:t>3.</w:t>
      </w:r>
      <w:r w:rsidR="0059791F" w:rsidRPr="0059791F">
        <w:rPr>
          <w:rFonts w:ascii="仿宋" w:eastAsia="仿宋" w:hAnsi="仿宋"/>
          <w:sz w:val="32"/>
          <w:szCs w:val="32"/>
        </w:rPr>
        <w:t>氧化剂与腐蚀性物品。漂白粉不得与无机氧化剂同库</w:t>
      </w:r>
      <w:r w:rsidR="0059791F" w:rsidRPr="0059791F">
        <w:rPr>
          <w:rFonts w:ascii="仿宋" w:eastAsia="仿宋" w:hAnsi="仿宋"/>
          <w:sz w:val="32"/>
          <w:szCs w:val="32"/>
        </w:rPr>
        <w:lastRenderedPageBreak/>
        <w:t>储存。硝酸盐与硝酸、发烟硝酸可同库储存，但不得与硫酸、发烟硫酸、氯磺酸同库储存。其他无机氧化剂与硝酸、硫酸、发烟硫酸、氯磺酸等均不得同库储存。</w:t>
      </w:r>
    </w:p>
    <w:p w:rsidR="0059791F" w:rsidRP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（五）</w:t>
      </w:r>
      <w:r w:rsidR="0059791F" w:rsidRPr="00B27545">
        <w:rPr>
          <w:rFonts w:ascii="黑体" w:eastAsia="黑体" w:hAnsi="黑体"/>
          <w:sz w:val="32"/>
          <w:szCs w:val="32"/>
        </w:rPr>
        <w:t>毒害品</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无机毒害品与无机氧化剂之间、固体有机毒害品与硝酸的有机衍生物之间应隔离存放。</w:t>
      </w:r>
    </w:p>
    <w:p w:rsidR="00B27545" w:rsidRDefault="00245837" w:rsidP="00245837">
      <w:pPr>
        <w:ind w:firstLineChars="200" w:firstLine="640"/>
        <w:rPr>
          <w:rFonts w:ascii="仿宋" w:eastAsia="仿宋" w:hAnsi="仿宋"/>
          <w:sz w:val="32"/>
          <w:szCs w:val="32"/>
        </w:rPr>
      </w:pPr>
      <w:r>
        <w:rPr>
          <w:rFonts w:ascii="仿宋" w:eastAsia="仿宋" w:hAnsi="仿宋"/>
          <w:sz w:val="32"/>
          <w:szCs w:val="32"/>
        </w:rPr>
        <w:t>2.</w:t>
      </w:r>
      <w:r w:rsidR="0059791F" w:rsidRPr="0059791F">
        <w:rPr>
          <w:rFonts w:ascii="仿宋" w:eastAsia="仿宋" w:hAnsi="仿宋"/>
          <w:sz w:val="32"/>
          <w:szCs w:val="32"/>
        </w:rPr>
        <w:t>无机毒害品与氧化性（助燃）气体应隔离存放，与不燃气体可同库存放；有机毒害品与不燃气体应隔离存放。</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3.</w:t>
      </w:r>
      <w:r w:rsidR="0059791F" w:rsidRPr="0059791F">
        <w:rPr>
          <w:rFonts w:ascii="仿宋" w:eastAsia="仿宋" w:hAnsi="仿宋"/>
          <w:sz w:val="32"/>
          <w:szCs w:val="32"/>
        </w:rPr>
        <w:t>液体有机毒害品与易燃液体可隔离后存放。</w:t>
      </w:r>
    </w:p>
    <w:p w:rsidR="0059791F" w:rsidRPr="00245837" w:rsidRDefault="00245837" w:rsidP="00245837">
      <w:pPr>
        <w:ind w:firstLineChars="200" w:firstLine="640"/>
        <w:rPr>
          <w:rFonts w:ascii="仿宋" w:eastAsia="仿宋" w:hAnsi="仿宋"/>
          <w:sz w:val="32"/>
          <w:szCs w:val="32"/>
        </w:rPr>
      </w:pPr>
      <w:r>
        <w:rPr>
          <w:rFonts w:ascii="仿宋" w:eastAsia="仿宋" w:hAnsi="仿宋"/>
          <w:sz w:val="32"/>
          <w:szCs w:val="32"/>
        </w:rPr>
        <w:t>4.</w:t>
      </w:r>
      <w:r w:rsidR="0059791F" w:rsidRPr="0059791F">
        <w:rPr>
          <w:rFonts w:ascii="仿宋" w:eastAsia="仿宋" w:hAnsi="仿宋"/>
          <w:sz w:val="32"/>
          <w:szCs w:val="32"/>
        </w:rPr>
        <w:t>有机毒害品的固体与液体之间，以及与无机毒害品之间均应隔离后存放；有机毒害品的液体与液体之间、固体与固体之间，无机的剧毒品与有毒品之间均可同库储存。</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5.</w:t>
      </w:r>
      <w:r w:rsidR="0059791F" w:rsidRPr="0059791F">
        <w:rPr>
          <w:rFonts w:ascii="仿宋" w:eastAsia="仿宋" w:hAnsi="仿宋"/>
          <w:sz w:val="32"/>
          <w:szCs w:val="32"/>
        </w:rPr>
        <w:t>其他各类物品均不可同库存放。</w:t>
      </w:r>
    </w:p>
    <w:p w:rsidR="0059791F" w:rsidRPr="00B27545" w:rsidRDefault="00245837" w:rsidP="00245837">
      <w:pPr>
        <w:ind w:firstLineChars="200" w:firstLine="640"/>
        <w:rPr>
          <w:rFonts w:ascii="黑体" w:eastAsia="黑体" w:hAnsi="黑体"/>
          <w:sz w:val="32"/>
          <w:szCs w:val="32"/>
        </w:rPr>
      </w:pPr>
      <w:r w:rsidRPr="00B27545">
        <w:rPr>
          <w:rFonts w:ascii="黑体" w:eastAsia="黑体" w:hAnsi="黑体" w:hint="eastAsia"/>
          <w:sz w:val="32"/>
          <w:szCs w:val="32"/>
        </w:rPr>
        <w:t>（六）</w:t>
      </w:r>
      <w:r w:rsidR="0059791F" w:rsidRPr="00B27545">
        <w:rPr>
          <w:rFonts w:ascii="黑体" w:eastAsia="黑体" w:hAnsi="黑体"/>
          <w:sz w:val="32"/>
          <w:szCs w:val="32"/>
        </w:rPr>
        <w:t>腐蚀性物品</w:t>
      </w:r>
      <w:r w:rsidR="0059791F" w:rsidRPr="00B27545">
        <w:rPr>
          <w:rFonts w:ascii="Calibri" w:eastAsia="黑体" w:hAnsi="Calibri" w:cs="Calibri"/>
          <w:sz w:val="32"/>
          <w:szCs w:val="32"/>
        </w:rPr>
        <w:t> </w:t>
      </w:r>
    </w:p>
    <w:p w:rsidR="0059791F" w:rsidRDefault="0059791F" w:rsidP="00245837">
      <w:pPr>
        <w:ind w:firstLineChars="200" w:firstLine="640"/>
        <w:rPr>
          <w:rFonts w:ascii="仿宋" w:eastAsia="仿宋" w:hAnsi="仿宋"/>
          <w:sz w:val="32"/>
          <w:szCs w:val="32"/>
        </w:rPr>
      </w:pPr>
      <w:r w:rsidRPr="0059791F">
        <w:rPr>
          <w:rFonts w:ascii="仿宋" w:eastAsia="仿宋" w:hAnsi="仿宋"/>
          <w:sz w:val="32"/>
          <w:szCs w:val="32"/>
        </w:rPr>
        <w:t>腐蚀性物品与其他各类物品之间、腐蚀性物品中的有机与无机腐蚀品之间、酸性与碱性物品之间、可燃液体与可燃固体之间，一般都应单独仓间存放，不可混储。</w:t>
      </w:r>
    </w:p>
    <w:p w:rsidR="0059791F" w:rsidRDefault="00245837" w:rsidP="00245837">
      <w:pPr>
        <w:ind w:firstLineChars="200" w:firstLine="640"/>
        <w:rPr>
          <w:rFonts w:ascii="仿宋" w:eastAsia="仿宋" w:hAnsi="仿宋"/>
          <w:sz w:val="32"/>
          <w:szCs w:val="32"/>
        </w:rPr>
      </w:pPr>
      <w:r>
        <w:rPr>
          <w:rFonts w:ascii="仿宋" w:eastAsia="仿宋" w:hAnsi="仿宋"/>
          <w:sz w:val="32"/>
          <w:szCs w:val="32"/>
        </w:rPr>
        <w:t>1.</w:t>
      </w:r>
      <w:r w:rsidR="0059791F" w:rsidRPr="0059791F">
        <w:rPr>
          <w:rFonts w:ascii="仿宋" w:eastAsia="仿宋" w:hAnsi="仿宋"/>
          <w:sz w:val="32"/>
          <w:szCs w:val="32"/>
        </w:rPr>
        <w:t xml:space="preserve">腐蚀性物品之间。无机碱性腐蚀品与有机碱性腐蚀品之间，其他无机腐蚀品与其他有机腐蚀品之间可隔离后存放。 </w:t>
      </w:r>
    </w:p>
    <w:p w:rsidR="0059791F" w:rsidRPr="00245837" w:rsidRDefault="00245837" w:rsidP="00245837">
      <w:pPr>
        <w:ind w:firstLineChars="200" w:firstLine="640"/>
        <w:rPr>
          <w:rFonts w:ascii="仿宋" w:eastAsia="仿宋" w:hAnsi="仿宋"/>
          <w:sz w:val="32"/>
          <w:szCs w:val="32"/>
        </w:rPr>
      </w:pPr>
      <w:r>
        <w:rPr>
          <w:rFonts w:ascii="仿宋" w:eastAsia="仿宋" w:hAnsi="仿宋"/>
          <w:sz w:val="32"/>
          <w:szCs w:val="32"/>
        </w:rPr>
        <w:t>2.</w:t>
      </w:r>
      <w:r w:rsidR="0059791F" w:rsidRPr="0059791F">
        <w:rPr>
          <w:rFonts w:ascii="仿宋" w:eastAsia="仿宋" w:hAnsi="仿宋"/>
          <w:sz w:val="32"/>
          <w:szCs w:val="32"/>
        </w:rPr>
        <w:t>腐蚀性物品与可燃液体之间。有机酸性腐蚀品与乙类可燃液体之间可隔离后储存，有机碱性腐蚀品与可燃液体之间可同库储存，但堆垛须间隔2m以上。</w:t>
      </w:r>
    </w:p>
    <w:p w:rsidR="0059791F" w:rsidRPr="00245837" w:rsidRDefault="0059791F" w:rsidP="00245837">
      <w:pPr>
        <w:ind w:firstLineChars="200" w:firstLine="640"/>
        <w:rPr>
          <w:rFonts w:ascii="仿宋" w:eastAsia="仿宋" w:hAnsi="仿宋"/>
          <w:sz w:val="32"/>
          <w:szCs w:val="32"/>
        </w:rPr>
      </w:pPr>
      <w:r w:rsidRPr="0059791F">
        <w:rPr>
          <w:rFonts w:ascii="仿宋" w:eastAsia="仿宋" w:hAnsi="仿宋"/>
          <w:sz w:val="32"/>
          <w:szCs w:val="32"/>
        </w:rPr>
        <w:lastRenderedPageBreak/>
        <w:t>危险化学品品种繁多、性能复杂，储存时应按照分区、分类、分段专仓专储的原则，定品</w:t>
      </w:r>
      <w:r w:rsidRPr="0059791F">
        <w:rPr>
          <w:rFonts w:ascii="仿宋" w:eastAsia="仿宋" w:hAnsi="仿宋" w:hint="eastAsia"/>
          <w:sz w:val="32"/>
          <w:szCs w:val="32"/>
        </w:rPr>
        <w:t>种、定数量、定库房、定人员（即“四定”）进行保管。小型库应分类、分间、分堆存放。性能相互抵触、灭火方法不同的物品，烈性危险化学品和其他一般危险化学品，应分别储存。</w:t>
      </w:r>
    </w:p>
    <w:p w:rsidR="0059791F" w:rsidRPr="00245837" w:rsidRDefault="0059791F" w:rsidP="00245837">
      <w:pPr>
        <w:ind w:firstLineChars="200" w:firstLine="640"/>
        <w:rPr>
          <w:rFonts w:ascii="仿宋" w:eastAsia="仿宋" w:hAnsi="仿宋"/>
          <w:sz w:val="32"/>
          <w:szCs w:val="32"/>
        </w:rPr>
      </w:pPr>
      <w:r w:rsidRPr="0059791F">
        <w:rPr>
          <w:rFonts w:ascii="仿宋" w:eastAsia="仿宋" w:hAnsi="仿宋"/>
          <w:sz w:val="32"/>
          <w:szCs w:val="32"/>
        </w:rPr>
        <w:t>危险化学品的分类存放是一个十分复杂的问题，物品能否同库存放或隔离存放，或分仓存放，与物品的性质、量的多少、储存条件和包装的好坏、存放时间的长短等有关。因此，在分类存放时，以上因素都应考虑。</w:t>
      </w:r>
    </w:p>
    <w:p w:rsidR="0059791F" w:rsidRPr="00245837" w:rsidRDefault="0059791F" w:rsidP="00245837">
      <w:pPr>
        <w:ind w:firstLineChars="200" w:firstLine="640"/>
        <w:rPr>
          <w:rFonts w:ascii="仿宋" w:eastAsia="仿宋" w:hAnsi="仿宋"/>
          <w:sz w:val="32"/>
          <w:szCs w:val="32"/>
        </w:rPr>
      </w:pPr>
      <w:r w:rsidRPr="0059791F">
        <w:rPr>
          <w:rFonts w:ascii="仿宋" w:eastAsia="仿宋" w:hAnsi="仿宋"/>
          <w:sz w:val="32"/>
          <w:szCs w:val="32"/>
        </w:rPr>
        <w:t>各类仓库性质不同，存放要求也不尽相同。例如，国家大型专门危险化学品仓库与企事业单位附属的小型危险化学品仓库不同，与医院、学校、科研单位做化</w:t>
      </w:r>
      <w:r w:rsidRPr="0059791F">
        <w:rPr>
          <w:rFonts w:ascii="仿宋" w:eastAsia="仿宋" w:hAnsi="仿宋" w:hint="eastAsia"/>
          <w:sz w:val="32"/>
          <w:szCs w:val="32"/>
        </w:rPr>
        <w:t>学试验或医疗用的小型试剂存放库就不同；正规建设的防潮、隔热的低温库房与简易小库房不同；各种严格的十分严密的内外包装和简易的小包装也不一样，如严密包装并有氮保护的电石桶的存放，与简易开口包装的电石桶的存放不能同样对待，应根据不同情况，综合分析其危险程度，确定如何分类存放的要求。</w:t>
      </w:r>
    </w:p>
    <w:p w:rsidR="0059791F" w:rsidRPr="00245837" w:rsidRDefault="0059791F" w:rsidP="00245837">
      <w:pPr>
        <w:ind w:firstLineChars="200" w:firstLine="640"/>
        <w:rPr>
          <w:rFonts w:ascii="仿宋" w:eastAsia="仿宋" w:hAnsi="仿宋"/>
          <w:sz w:val="32"/>
          <w:szCs w:val="32"/>
        </w:rPr>
      </w:pPr>
      <w:r w:rsidRPr="0059791F">
        <w:rPr>
          <w:rFonts w:ascii="仿宋" w:eastAsia="仿宋" w:hAnsi="仿宋"/>
          <w:sz w:val="32"/>
          <w:szCs w:val="32"/>
        </w:rPr>
        <w:t>一般来讲，对于小型危险化学品仓库，可参照“常用危险化学品储存禁忌物配存表”</w:t>
      </w:r>
      <w:r w:rsidR="00364120">
        <w:rPr>
          <w:rFonts w:ascii="仿宋" w:eastAsia="仿宋" w:hAnsi="仿宋" w:hint="eastAsia"/>
          <w:sz w:val="32"/>
          <w:szCs w:val="32"/>
        </w:rPr>
        <w:t>（详见附表）</w:t>
      </w:r>
      <w:r w:rsidRPr="0059791F">
        <w:rPr>
          <w:rFonts w:ascii="仿宋" w:eastAsia="仿宋" w:hAnsi="仿宋"/>
          <w:sz w:val="32"/>
          <w:szCs w:val="32"/>
        </w:rPr>
        <w:t>执行。科研单位、学校、医院等供化学试验</w:t>
      </w:r>
      <w:r w:rsidRPr="0059791F">
        <w:rPr>
          <w:rFonts w:ascii="仿宋" w:eastAsia="仿宋" w:hAnsi="仿宋" w:hint="eastAsia"/>
          <w:sz w:val="32"/>
          <w:szCs w:val="32"/>
        </w:rPr>
        <w:t>或医疗用的危险化学品试剂和药剂，应设专门的储藏室，储藏室的面积不得超过</w:t>
      </w:r>
      <w:r w:rsidRPr="0059791F">
        <w:rPr>
          <w:rFonts w:ascii="仿宋" w:eastAsia="仿宋" w:hAnsi="仿宋"/>
          <w:sz w:val="32"/>
          <w:szCs w:val="32"/>
        </w:rPr>
        <w:t>20m</w:t>
      </w:r>
      <w:r w:rsidRPr="00245837">
        <w:rPr>
          <w:rFonts w:ascii="Calibri" w:eastAsia="仿宋" w:hAnsi="Calibri" w:cs="Calibri"/>
          <w:sz w:val="32"/>
          <w:szCs w:val="32"/>
        </w:rPr>
        <w:t>²</w:t>
      </w:r>
      <w:r w:rsidRPr="0059791F">
        <w:rPr>
          <w:rFonts w:ascii="仿宋" w:eastAsia="仿宋" w:hAnsi="仿宋"/>
          <w:sz w:val="32"/>
          <w:szCs w:val="32"/>
        </w:rPr>
        <w:t>。</w:t>
      </w:r>
    </w:p>
    <w:p w:rsidR="0059791F" w:rsidRDefault="0059791F" w:rsidP="00245837">
      <w:pPr>
        <w:ind w:firstLineChars="200" w:firstLine="640"/>
        <w:rPr>
          <w:rFonts w:ascii="仿宋" w:eastAsia="仿宋" w:hAnsi="仿宋"/>
          <w:sz w:val="32"/>
          <w:szCs w:val="32"/>
        </w:rPr>
      </w:pPr>
      <w:r w:rsidRPr="0059791F">
        <w:rPr>
          <w:rFonts w:ascii="仿宋" w:eastAsia="仿宋" w:hAnsi="仿宋"/>
          <w:sz w:val="32"/>
          <w:szCs w:val="32"/>
        </w:rPr>
        <w:lastRenderedPageBreak/>
        <w:t>储藏柜应根据具体情况建造，每只柜的总储量不应超过200kg。储藏室和储藏柜应以储存性质相同的物品为主。对性能相互抵触或灭火方法不同的危险化学品（爆炸品除外），如果包装坚固、封口严密、数量又较少的，可允许同室或同柜</w:t>
      </w:r>
      <w:r w:rsidR="00364120">
        <w:rPr>
          <w:rFonts w:ascii="Times New Roman" w:hAnsi="Times New Roman" w:cs="Times New Roman"/>
          <w:noProof/>
          <w:sz w:val="28"/>
          <w:szCs w:val="36"/>
        </w:rPr>
        <w:drawing>
          <wp:anchor distT="0" distB="0" distL="114300" distR="114300" simplePos="0" relativeHeight="251659264" behindDoc="0" locked="0" layoutInCell="1" allowOverlap="1" wp14:anchorId="74779826" wp14:editId="2B14CEE2">
            <wp:simplePos x="0" y="0"/>
            <wp:positionH relativeFrom="margin">
              <wp:align>center</wp:align>
            </wp:positionH>
            <wp:positionV relativeFrom="paragraph">
              <wp:posOffset>1231900</wp:posOffset>
            </wp:positionV>
            <wp:extent cx="5807421" cy="7755890"/>
            <wp:effectExtent l="0" t="0" r="3175" b="0"/>
            <wp:wrapNone/>
            <wp:docPr id="1" name="图片 1" descr="1.实验室危险化学品安全管理规范 第2部分：普通高等学校_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实验室危险化学品安全管理规范 第2部分：普通高等学校_08"/>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a:xfrm>
                      <a:off x="0" y="0"/>
                      <a:ext cx="5807421" cy="7755890"/>
                    </a:xfrm>
                    <a:prstGeom prst="rect">
                      <a:avLst/>
                    </a:prstGeom>
                  </pic:spPr>
                </pic:pic>
              </a:graphicData>
            </a:graphic>
            <wp14:sizeRelH relativeFrom="margin">
              <wp14:pctWidth>0</wp14:pctWidth>
            </wp14:sizeRelH>
            <wp14:sizeRelV relativeFrom="margin">
              <wp14:pctHeight>0</wp14:pctHeight>
            </wp14:sizeRelV>
          </wp:anchor>
        </w:drawing>
      </w:r>
      <w:r w:rsidRPr="0059791F">
        <w:rPr>
          <w:rFonts w:ascii="仿宋" w:eastAsia="仿宋" w:hAnsi="仿宋"/>
          <w:sz w:val="32"/>
          <w:szCs w:val="32"/>
        </w:rPr>
        <w:t>分格存放。</w:t>
      </w:r>
    </w:p>
    <w:p w:rsidR="00364120" w:rsidRPr="0059791F" w:rsidRDefault="00364120" w:rsidP="00245837">
      <w:pPr>
        <w:ind w:firstLineChars="200" w:firstLine="640"/>
        <w:rPr>
          <w:rFonts w:ascii="仿宋" w:eastAsia="仿宋" w:hAnsi="仿宋"/>
          <w:sz w:val="32"/>
          <w:szCs w:val="32"/>
        </w:rPr>
      </w:pPr>
    </w:p>
    <w:sectPr w:rsidR="00364120" w:rsidRPr="0059791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629" w:rsidRDefault="00336629" w:rsidP="00EE762B">
      <w:r>
        <w:separator/>
      </w:r>
    </w:p>
  </w:endnote>
  <w:endnote w:type="continuationSeparator" w:id="0">
    <w:p w:rsidR="00336629" w:rsidRDefault="00336629" w:rsidP="00EE7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629" w:rsidRDefault="00336629" w:rsidP="00EE762B">
      <w:r>
        <w:separator/>
      </w:r>
    </w:p>
  </w:footnote>
  <w:footnote w:type="continuationSeparator" w:id="0">
    <w:p w:rsidR="00336629" w:rsidRDefault="00336629" w:rsidP="00EE76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91F"/>
    <w:rsid w:val="00245837"/>
    <w:rsid w:val="002E70AE"/>
    <w:rsid w:val="00336629"/>
    <w:rsid w:val="00364120"/>
    <w:rsid w:val="003D4A8C"/>
    <w:rsid w:val="003E1143"/>
    <w:rsid w:val="00490C4B"/>
    <w:rsid w:val="004E5997"/>
    <w:rsid w:val="0059791F"/>
    <w:rsid w:val="00741C31"/>
    <w:rsid w:val="00B27545"/>
    <w:rsid w:val="00C11E4E"/>
    <w:rsid w:val="00C6513F"/>
    <w:rsid w:val="00EE762B"/>
    <w:rsid w:val="00F00DE7"/>
    <w:rsid w:val="00F95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D5788"/>
  <w15:chartTrackingRefBased/>
  <w15:docId w15:val="{232374C6-6291-41C6-875D-645857F4D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59791F"/>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59791F"/>
    <w:rPr>
      <w:rFonts w:ascii="宋体" w:eastAsia="宋体" w:hAnsi="宋体" w:cs="宋体"/>
      <w:b/>
      <w:bCs/>
      <w:kern w:val="0"/>
      <w:sz w:val="36"/>
      <w:szCs w:val="36"/>
    </w:rPr>
  </w:style>
  <w:style w:type="paragraph" w:styleId="a3">
    <w:name w:val="header"/>
    <w:basedOn w:val="a"/>
    <w:link w:val="a4"/>
    <w:uiPriority w:val="99"/>
    <w:unhideWhenUsed/>
    <w:rsid w:val="00EE762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762B"/>
    <w:rPr>
      <w:sz w:val="18"/>
      <w:szCs w:val="18"/>
    </w:rPr>
  </w:style>
  <w:style w:type="paragraph" w:styleId="a5">
    <w:name w:val="footer"/>
    <w:basedOn w:val="a"/>
    <w:link w:val="a6"/>
    <w:uiPriority w:val="99"/>
    <w:unhideWhenUsed/>
    <w:rsid w:val="00EE762B"/>
    <w:pPr>
      <w:tabs>
        <w:tab w:val="center" w:pos="4153"/>
        <w:tab w:val="right" w:pos="8306"/>
      </w:tabs>
      <w:snapToGrid w:val="0"/>
      <w:jc w:val="left"/>
    </w:pPr>
    <w:rPr>
      <w:sz w:val="18"/>
      <w:szCs w:val="18"/>
    </w:rPr>
  </w:style>
  <w:style w:type="character" w:customStyle="1" w:styleId="a6">
    <w:name w:val="页脚 字符"/>
    <w:basedOn w:val="a0"/>
    <w:link w:val="a5"/>
    <w:uiPriority w:val="99"/>
    <w:rsid w:val="00EE762B"/>
    <w:rPr>
      <w:sz w:val="18"/>
      <w:szCs w:val="18"/>
    </w:rPr>
  </w:style>
  <w:style w:type="paragraph" w:styleId="a7">
    <w:name w:val="List Paragraph"/>
    <w:basedOn w:val="a"/>
    <w:uiPriority w:val="34"/>
    <w:qFormat/>
    <w:rsid w:val="00B2754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208735">
      <w:bodyDiv w:val="1"/>
      <w:marLeft w:val="0"/>
      <w:marRight w:val="0"/>
      <w:marTop w:val="0"/>
      <w:marBottom w:val="0"/>
      <w:divBdr>
        <w:top w:val="none" w:sz="0" w:space="0" w:color="auto"/>
        <w:left w:val="none" w:sz="0" w:space="0" w:color="auto"/>
        <w:bottom w:val="none" w:sz="0" w:space="0" w:color="auto"/>
        <w:right w:val="none" w:sz="0" w:space="0" w:color="auto"/>
      </w:divBdr>
    </w:div>
    <w:div w:id="133372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Pages>
  <Words>369</Words>
  <Characters>2104</Characters>
  <Application>Microsoft Office Word</Application>
  <DocSecurity>0</DocSecurity>
  <Lines>17</Lines>
  <Paragraphs>4</Paragraphs>
  <ScaleCrop>false</ScaleCrop>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蔡新根</dc:creator>
  <cp:keywords/>
  <dc:description/>
  <cp:lastModifiedBy>蔡新根</cp:lastModifiedBy>
  <cp:revision>11</cp:revision>
  <dcterms:created xsi:type="dcterms:W3CDTF">2021-03-17T07:47:00Z</dcterms:created>
  <dcterms:modified xsi:type="dcterms:W3CDTF">2021-03-26T04:37:00Z</dcterms:modified>
</cp:coreProperties>
</file>